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F1" w:rsidRDefault="001242F1" w:rsidP="001242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F1" w:rsidRDefault="001242F1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6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proofErr w:type="gramStart"/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4EC4" w:rsidRDefault="0097256F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F7F2A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723661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Ярославцы </w:t>
      </w:r>
      <w:r w:rsidR="00170398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723661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могут</w:t>
      </w:r>
      <w:r w:rsidR="00FF7F2A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официально оформить используемые участки, </w:t>
      </w:r>
      <w:r w:rsidR="00170398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дальнейшего законного распоряжения ими</w:t>
      </w:r>
      <w:r w:rsidR="00FF7F2A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AA72BF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к</w:t>
      </w:r>
      <w:r w:rsidR="00BB740B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омплексные кадастровые работы</w:t>
      </w:r>
      <w:r w:rsidR="002C571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которые будут</w:t>
      </w:r>
      <w:r w:rsidR="007242E6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C571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проводиться по заказу местных органов власти</w:t>
      </w:r>
      <w:r w:rsidR="00AA72BF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21629D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выявят</w:t>
      </w:r>
      <w:r w:rsidR="007242E6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что площадь </w:t>
      </w:r>
      <w:r w:rsidR="00762F27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эксплуатируемого</w:t>
      </w:r>
      <w:r w:rsidR="007242E6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земельного участка больше, </w:t>
      </w:r>
      <w:r w:rsidR="00AA72BF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той, что внесена в ЕГРН</w:t>
      </w:r>
      <w:r w:rsidR="0021629D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то разницу можно будет узаконить.</w:t>
      </w:r>
      <w:r w:rsidR="00FB6A1C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Однако это не является возможностью бесконтрольно и быстро увеличить площадь </w:t>
      </w:r>
      <w:r w:rsidR="00B9043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участк</w:t>
      </w:r>
      <w:r w:rsidR="00736398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B9043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B90433" w:rsidRPr="00862E0E">
        <w:rPr>
          <w:i/>
        </w:rPr>
        <w:t xml:space="preserve"> </w:t>
      </w:r>
      <w:r w:rsidR="002D4EC4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Уточнить</w:t>
      </w:r>
      <w:r w:rsidR="00B9043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4EC4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границы</w:t>
      </w:r>
      <w:r w:rsidR="00B9043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4EC4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смогут только те собственники, которые пользовались участком на протяжении</w:t>
      </w:r>
      <w:r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многих лет</w:t>
      </w:r>
      <w:r w:rsidR="002D4EC4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97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говорит </w:t>
      </w:r>
      <w:r w:rsidRPr="0086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Кадастровой палаты  по Ярославской области Татьяна Сухова</w:t>
      </w:r>
      <w:r w:rsidRPr="0097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для исправления реестровых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:rsidR="00B81727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="00D97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Кадастровой палаты </w:t>
      </w:r>
      <w:r w:rsidR="00D97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Сухова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7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44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равообладател</w:t>
      </w:r>
      <w:r w:rsidR="0044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об</w:t>
      </w:r>
      <w:r w:rsidR="00DE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="0044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ектов недвижимости</w:t>
      </w:r>
      <w:r w:rsidR="00DE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отпадет необходимость проведения кадастровы</w:t>
      </w:r>
      <w:r w:rsidR="00B1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 за свой счет, поскольку</w:t>
      </w:r>
      <w:r w:rsidR="00174AD2" w:rsidRPr="00174AD2">
        <w:t xml:space="preserve"> </w:t>
      </w:r>
      <w:r w:rsidR="00174AD2" w:rsidRPr="0017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комплексные кадаст</w:t>
      </w:r>
      <w:r w:rsidR="00B1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ровые работ, проводятся </w:t>
      </w:r>
      <w:r w:rsidR="002D6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B1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бюджетные средства.</w:t>
      </w:r>
    </w:p>
    <w:p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AF7819" w:rsidRPr="00D33D36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</w:t>
      </w:r>
      <w:r w:rsidR="00B126C8" w:rsidRPr="00B126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повышает эффективность управления различными территориями в составе </w:t>
      </w:r>
      <w:r w:rsidR="002108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области.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171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Благодаря им </w:t>
      </w:r>
      <w:r w:rsidR="00E04D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обеспечивается справедливое налогообложение,</w:t>
      </w:r>
      <w:r w:rsidR="00A71E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545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значительно сокращается </w:t>
      </w:r>
      <w:r w:rsidR="00A71E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числ</w:t>
      </w:r>
      <w:r w:rsidR="000E2F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земельных споров</w:t>
      </w:r>
      <w:r w:rsidR="00C545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090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законодательно защищаются</w:t>
      </w:r>
      <w:r w:rsidR="00C545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права собственников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="00B126C8" w:rsidRPr="00D33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Сухова</w:t>
      </w:r>
      <w:r w:rsidRPr="00D33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Напомним, </w:t>
      </w:r>
      <w:hyperlink r:id="rId7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242F1" w:rsidRPr="00382D54" w:rsidRDefault="001242F1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2F1" w:rsidRPr="00CF505F" w:rsidRDefault="001242F1" w:rsidP="00124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F1" w:rsidRPr="00CF505F" w:rsidRDefault="001242F1" w:rsidP="0012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05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242F1" w:rsidRDefault="000E0BF3" w:rsidP="001242F1">
      <w:pPr>
        <w:pStyle w:val="a4"/>
        <w:jc w:val="both"/>
        <w:rPr>
          <w:color w:val="000000"/>
          <w:sz w:val="28"/>
          <w:szCs w:val="28"/>
        </w:rPr>
      </w:pPr>
      <w:hyperlink r:id="rId8" w:history="1">
        <w:r w:rsidR="001242F1">
          <w:rPr>
            <w:rStyle w:val="a3"/>
            <w:sz w:val="28"/>
            <w:szCs w:val="28"/>
          </w:rPr>
          <w:t>Федеральная кадастровая палата</w:t>
        </w:r>
      </w:hyperlink>
      <w:r w:rsidR="001242F1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9" w:history="1">
        <w:r w:rsidR="001242F1" w:rsidRPr="00AA5BA4">
          <w:rPr>
            <w:rStyle w:val="a3"/>
            <w:sz w:val="28"/>
            <w:szCs w:val="28"/>
          </w:rPr>
          <w:t>сервис по выдаче сведений из ЕГРН</w:t>
        </w:r>
      </w:hyperlink>
      <w:r w:rsidR="001242F1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1242F1" w:rsidRDefault="001242F1" w:rsidP="001242F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242F1" w:rsidRDefault="001242F1" w:rsidP="001242F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1242F1" w:rsidRDefault="001242F1" w:rsidP="001242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:rsidR="001242F1" w:rsidRPr="00C26317" w:rsidRDefault="001242F1" w:rsidP="001242F1">
      <w:pPr>
        <w:pStyle w:val="a4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1242F1" w:rsidRPr="002D0349" w:rsidRDefault="001242F1" w:rsidP="001242F1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</w:t>
      </w: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адастровая палата</w:t>
      </w:r>
      <w:r>
        <w:rPr>
          <w:rFonts w:ascii="Segoe UI" w:eastAsiaTheme="minorEastAsia" w:hAnsi="Segoe UI" w:cs="Segoe UI"/>
          <w:noProof/>
          <w:sz w:val="20"/>
          <w:lang w:eastAsia="ru-RU"/>
        </w:rPr>
        <w:t xml:space="preserve"> по Ярославской области</w:t>
      </w:r>
    </w:p>
    <w:p w:rsidR="001242F1" w:rsidRDefault="001242F1" w:rsidP="001242F1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1242F1" w:rsidRPr="00F36B31" w:rsidRDefault="001242F1" w:rsidP="001242F1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F36B31"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1242F1" w:rsidRPr="00F36B31" w:rsidRDefault="001242F1" w:rsidP="001242F1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F36B31"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  <w:bookmarkStart w:id="0" w:name="_GoBack"/>
      <w:bookmarkEnd w:id="0"/>
    </w:p>
    <w:p w:rsidR="001242F1" w:rsidRPr="00F36B31" w:rsidRDefault="000E0BF3" w:rsidP="001242F1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10" w:history="1">
        <w:r w:rsidR="001242F1" w:rsidRPr="00A27669">
          <w:rPr>
            <w:rStyle w:val="a3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1242F1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1242F1" w:rsidRDefault="001242F1" w:rsidP="001242F1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F36B31"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:rsidR="00382D54" w:rsidRPr="007D71C2" w:rsidRDefault="00382D54" w:rsidP="001242F1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 w:rsidSect="000E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36AC"/>
    <w:rsid w:val="00062566"/>
    <w:rsid w:val="00090643"/>
    <w:rsid w:val="000C719C"/>
    <w:rsid w:val="000E0BF3"/>
    <w:rsid w:val="000E2FDA"/>
    <w:rsid w:val="001118FB"/>
    <w:rsid w:val="0011393B"/>
    <w:rsid w:val="00117065"/>
    <w:rsid w:val="001242F1"/>
    <w:rsid w:val="00170398"/>
    <w:rsid w:val="00174AD2"/>
    <w:rsid w:val="00193C4E"/>
    <w:rsid w:val="0020024C"/>
    <w:rsid w:val="0021083D"/>
    <w:rsid w:val="0021629D"/>
    <w:rsid w:val="00261397"/>
    <w:rsid w:val="00287DD1"/>
    <w:rsid w:val="00287EAD"/>
    <w:rsid w:val="0029500D"/>
    <w:rsid w:val="002C5713"/>
    <w:rsid w:val="002C692A"/>
    <w:rsid w:val="002D0397"/>
    <w:rsid w:val="002D4EC4"/>
    <w:rsid w:val="002D68A6"/>
    <w:rsid w:val="00372B8C"/>
    <w:rsid w:val="003745ED"/>
    <w:rsid w:val="00382D54"/>
    <w:rsid w:val="003B0DC6"/>
    <w:rsid w:val="003C267C"/>
    <w:rsid w:val="00417176"/>
    <w:rsid w:val="00417DA7"/>
    <w:rsid w:val="00426F28"/>
    <w:rsid w:val="00430F01"/>
    <w:rsid w:val="00432B8F"/>
    <w:rsid w:val="00437451"/>
    <w:rsid w:val="00437602"/>
    <w:rsid w:val="004416CB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23661"/>
    <w:rsid w:val="007242E6"/>
    <w:rsid w:val="00736398"/>
    <w:rsid w:val="00737703"/>
    <w:rsid w:val="00762F27"/>
    <w:rsid w:val="007D71C2"/>
    <w:rsid w:val="007E2C67"/>
    <w:rsid w:val="0081490A"/>
    <w:rsid w:val="00845CEA"/>
    <w:rsid w:val="00855030"/>
    <w:rsid w:val="00862E0E"/>
    <w:rsid w:val="00874573"/>
    <w:rsid w:val="009015FD"/>
    <w:rsid w:val="0096665E"/>
    <w:rsid w:val="0097256F"/>
    <w:rsid w:val="00976333"/>
    <w:rsid w:val="009C36AC"/>
    <w:rsid w:val="009D4023"/>
    <w:rsid w:val="009F6362"/>
    <w:rsid w:val="00A31538"/>
    <w:rsid w:val="00A410FF"/>
    <w:rsid w:val="00A71EE8"/>
    <w:rsid w:val="00AA72BF"/>
    <w:rsid w:val="00AC7F62"/>
    <w:rsid w:val="00AD04B1"/>
    <w:rsid w:val="00AF3C9A"/>
    <w:rsid w:val="00AF7819"/>
    <w:rsid w:val="00B106F6"/>
    <w:rsid w:val="00B126C8"/>
    <w:rsid w:val="00B52411"/>
    <w:rsid w:val="00B81727"/>
    <w:rsid w:val="00B90433"/>
    <w:rsid w:val="00BB740B"/>
    <w:rsid w:val="00C54553"/>
    <w:rsid w:val="00CA2E34"/>
    <w:rsid w:val="00CD4039"/>
    <w:rsid w:val="00CD5BCE"/>
    <w:rsid w:val="00D33D36"/>
    <w:rsid w:val="00D460C1"/>
    <w:rsid w:val="00D977BA"/>
    <w:rsid w:val="00DE1393"/>
    <w:rsid w:val="00E04DF4"/>
    <w:rsid w:val="00E47B33"/>
    <w:rsid w:val="00ED30D1"/>
    <w:rsid w:val="00F278BC"/>
    <w:rsid w:val="00F7186A"/>
    <w:rsid w:val="00FA1E48"/>
    <w:rsid w:val="00FB6A1C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F3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894/ad890e68b83c920baeae9bb9fdc9b94feb1af0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76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5C59-D817-4643-93E3-0272FEAD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cp:lastPrinted>2019-09-12T10:51:00Z</cp:lastPrinted>
  <dcterms:created xsi:type="dcterms:W3CDTF">2019-09-16T09:19:00Z</dcterms:created>
  <dcterms:modified xsi:type="dcterms:W3CDTF">2019-09-16T09:19:00Z</dcterms:modified>
</cp:coreProperties>
</file>